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9E" w:rsidRPr="004A6B4C" w:rsidRDefault="008645A6" w:rsidP="008645A6">
      <w:pPr>
        <w:pStyle w:val="NoSpacing"/>
        <w:jc w:val="center"/>
        <w:rPr>
          <w:rFonts w:ascii="Garamond" w:hAnsi="Garamond"/>
          <w:b/>
          <w:sz w:val="24"/>
          <w:szCs w:val="24"/>
          <w:u w:val="single"/>
        </w:rPr>
      </w:pPr>
      <w:r w:rsidRPr="004A6B4C">
        <w:rPr>
          <w:rFonts w:ascii="Garamond" w:hAnsi="Garamond"/>
          <w:b/>
          <w:sz w:val="24"/>
          <w:szCs w:val="24"/>
          <w:u w:val="single"/>
        </w:rPr>
        <w:t>Lycoming County Employees’ Retirement Fund Information</w:t>
      </w:r>
    </w:p>
    <w:p w:rsidR="008645A6" w:rsidRPr="003C6A48" w:rsidRDefault="008645A6" w:rsidP="008645A6">
      <w:pPr>
        <w:pStyle w:val="NoSpacing"/>
        <w:jc w:val="center"/>
        <w:rPr>
          <w:rFonts w:ascii="Garamond" w:hAnsi="Garamond"/>
          <w:b/>
          <w:sz w:val="21"/>
          <w:szCs w:val="21"/>
          <w:u w:val="single"/>
        </w:rPr>
      </w:pP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>The Lycoming County Employees’ Retirement Fund is governed by Act 96 of 1971.  The plan is a Defined Benefit plan.</w:t>
      </w: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Withholding Percentage:</w:t>
      </w:r>
      <w:r w:rsidRPr="003C6A48">
        <w:rPr>
          <w:rFonts w:ascii="Garamond" w:hAnsi="Garamond"/>
          <w:sz w:val="21"/>
          <w:szCs w:val="21"/>
        </w:rPr>
        <w:tab/>
        <w:t>Minimum = 8%</w:t>
      </w: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ab/>
      </w:r>
      <w:r w:rsidRPr="003C6A48">
        <w:rPr>
          <w:rFonts w:ascii="Garamond" w:hAnsi="Garamond"/>
          <w:sz w:val="21"/>
          <w:szCs w:val="21"/>
        </w:rPr>
        <w:tab/>
      </w:r>
      <w:r w:rsidRPr="003C6A48">
        <w:rPr>
          <w:rFonts w:ascii="Garamond" w:hAnsi="Garamond"/>
          <w:sz w:val="21"/>
          <w:szCs w:val="21"/>
        </w:rPr>
        <w:tab/>
      </w:r>
      <w:r w:rsidRPr="003C6A48">
        <w:rPr>
          <w:rFonts w:ascii="Garamond" w:hAnsi="Garamond"/>
          <w:sz w:val="21"/>
          <w:szCs w:val="21"/>
        </w:rPr>
        <w:tab/>
        <w:t>Maximum = 18%</w:t>
      </w: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</w:p>
    <w:p w:rsidR="008645A6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Additional Percentage:</w:t>
      </w:r>
      <w:r w:rsidRPr="003C6A48">
        <w:rPr>
          <w:rFonts w:ascii="Garamond" w:hAnsi="Garamond"/>
          <w:sz w:val="21"/>
          <w:szCs w:val="21"/>
        </w:rPr>
        <w:tab/>
        <w:t xml:space="preserve">Only the mandatory 8% is tax deferred.  Interest earned on entire withholding is tax deferred.  </w:t>
      </w:r>
    </w:p>
    <w:p w:rsidR="005B32A1" w:rsidRPr="003C6A48" w:rsidRDefault="005B32A1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8645A6" w:rsidRPr="003C6A48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Service Time:</w:t>
      </w:r>
      <w:r w:rsidRPr="003C6A48">
        <w:rPr>
          <w:rFonts w:ascii="Garamond" w:hAnsi="Garamond"/>
          <w:sz w:val="21"/>
          <w:szCs w:val="21"/>
        </w:rPr>
        <w:tab/>
      </w:r>
      <w:r w:rsidR="00E45605">
        <w:rPr>
          <w:rFonts w:ascii="Garamond" w:hAnsi="Garamond"/>
          <w:sz w:val="21"/>
          <w:szCs w:val="21"/>
        </w:rPr>
        <w:t>Service time is the l</w:t>
      </w:r>
      <w:r w:rsidRPr="003C6A48">
        <w:rPr>
          <w:rFonts w:ascii="Garamond" w:hAnsi="Garamond"/>
          <w:sz w:val="21"/>
          <w:szCs w:val="21"/>
        </w:rPr>
        <w:t xml:space="preserve">ength of continuous </w:t>
      </w:r>
      <w:r w:rsidR="00E45605">
        <w:rPr>
          <w:rFonts w:ascii="Garamond" w:hAnsi="Garamond"/>
          <w:sz w:val="21"/>
          <w:szCs w:val="21"/>
        </w:rPr>
        <w:t>employment</w:t>
      </w:r>
      <w:r w:rsidRPr="003C6A48">
        <w:rPr>
          <w:rFonts w:ascii="Garamond" w:hAnsi="Garamond"/>
          <w:sz w:val="21"/>
          <w:szCs w:val="21"/>
        </w:rPr>
        <w:t xml:space="preserve"> with the County.  Leave without pay does not contribute to service time</w:t>
      </w:r>
      <w:r w:rsidR="005B32A1">
        <w:rPr>
          <w:rFonts w:ascii="Garamond" w:hAnsi="Garamond"/>
          <w:sz w:val="21"/>
          <w:szCs w:val="21"/>
        </w:rPr>
        <w:t xml:space="preserve"> but may be bought back prior to retirement</w:t>
      </w:r>
      <w:r w:rsidRPr="003C6A48">
        <w:rPr>
          <w:rFonts w:ascii="Garamond" w:hAnsi="Garamond"/>
          <w:sz w:val="21"/>
          <w:szCs w:val="21"/>
        </w:rPr>
        <w:t>.  Previous service may be bought back by paying back the exact amount of the refund issued.</w:t>
      </w:r>
    </w:p>
    <w:p w:rsidR="008645A6" w:rsidRPr="003C6A48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8645A6" w:rsidRPr="003C6A48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Military Service Time:</w:t>
      </w:r>
      <w:r w:rsidRPr="003C6A48">
        <w:rPr>
          <w:rFonts w:ascii="Garamond" w:hAnsi="Garamond"/>
          <w:sz w:val="21"/>
          <w:szCs w:val="21"/>
        </w:rPr>
        <w:tab/>
        <w:t>Military service may be bought after 3 years of County services if:</w:t>
      </w:r>
    </w:p>
    <w:p w:rsidR="008645A6" w:rsidRPr="003C6A48" w:rsidRDefault="008645A6" w:rsidP="008645A6">
      <w:pPr>
        <w:pStyle w:val="NoSpacing"/>
        <w:numPr>
          <w:ilvl w:val="0"/>
          <w:numId w:val="1"/>
        </w:numPr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>Discharge other than undesirable/bad conduct/dishonorable</w:t>
      </w:r>
    </w:p>
    <w:p w:rsidR="008645A6" w:rsidRPr="003C6A48" w:rsidRDefault="008645A6" w:rsidP="008645A6">
      <w:pPr>
        <w:pStyle w:val="NoSpacing"/>
        <w:numPr>
          <w:ilvl w:val="0"/>
          <w:numId w:val="1"/>
        </w:numPr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>Credit not received toward retirement with other governmental agency</w:t>
      </w:r>
    </w:p>
    <w:p w:rsidR="008645A6" w:rsidRPr="003C6A48" w:rsidRDefault="008645A6" w:rsidP="008645A6">
      <w:pPr>
        <w:pStyle w:val="NoSpacing"/>
        <w:rPr>
          <w:rFonts w:ascii="Garamond" w:hAnsi="Garamond"/>
          <w:sz w:val="21"/>
          <w:szCs w:val="21"/>
        </w:rPr>
      </w:pPr>
    </w:p>
    <w:p w:rsidR="008645A6" w:rsidRPr="003C6A48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First Five Years of Service:</w:t>
      </w:r>
      <w:r w:rsidRPr="003C6A48">
        <w:rPr>
          <w:rFonts w:ascii="Garamond" w:hAnsi="Garamond"/>
          <w:sz w:val="21"/>
          <w:szCs w:val="21"/>
        </w:rPr>
        <w:tab/>
        <w:t>If you leave County employment, you must take a refund which you can roll over into an eligible IRA-type account.  If you do not roll it over, you will have 20% withheld for taxes and may owe an additional penalty of 10% when you file income tax the following year</w:t>
      </w:r>
      <w:r w:rsidR="005B32A1">
        <w:rPr>
          <w:rFonts w:ascii="Garamond" w:hAnsi="Garamond"/>
          <w:sz w:val="21"/>
          <w:szCs w:val="21"/>
        </w:rPr>
        <w:t xml:space="preserve"> (please check with your tax professional for details)</w:t>
      </w:r>
      <w:r w:rsidRPr="003C6A48">
        <w:rPr>
          <w:rFonts w:ascii="Garamond" w:hAnsi="Garamond"/>
          <w:sz w:val="21"/>
          <w:szCs w:val="21"/>
        </w:rPr>
        <w:t>.</w:t>
      </w:r>
    </w:p>
    <w:p w:rsidR="008645A6" w:rsidRPr="003C6A48" w:rsidRDefault="008645A6" w:rsidP="008645A6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3C6A48" w:rsidRPr="003C6A48" w:rsidRDefault="008645A6" w:rsidP="005B32A1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Vesting:</w:t>
      </w:r>
      <w:r w:rsidRPr="003C6A48">
        <w:rPr>
          <w:rFonts w:ascii="Garamond" w:hAnsi="Garamond"/>
          <w:sz w:val="21"/>
          <w:szCs w:val="21"/>
        </w:rPr>
        <w:tab/>
        <w:t xml:space="preserve">After 5 years of </w:t>
      </w:r>
      <w:r w:rsidR="005B32A1">
        <w:rPr>
          <w:rFonts w:ascii="Garamond" w:hAnsi="Garamond"/>
          <w:sz w:val="21"/>
          <w:szCs w:val="21"/>
        </w:rPr>
        <w:t xml:space="preserve">full-time </w:t>
      </w:r>
      <w:r w:rsidRPr="003C6A48">
        <w:rPr>
          <w:rFonts w:ascii="Garamond" w:hAnsi="Garamond"/>
          <w:sz w:val="21"/>
          <w:szCs w:val="21"/>
        </w:rPr>
        <w:t xml:space="preserve">County employment you are vested.  This means </w:t>
      </w:r>
      <w:r w:rsidR="005B32A1">
        <w:rPr>
          <w:rFonts w:ascii="Garamond" w:hAnsi="Garamond"/>
          <w:sz w:val="21"/>
          <w:szCs w:val="21"/>
        </w:rPr>
        <w:t xml:space="preserve">if you leave county employment, </w:t>
      </w:r>
      <w:r w:rsidRPr="003C6A48">
        <w:rPr>
          <w:rFonts w:ascii="Garamond" w:hAnsi="Garamond"/>
          <w:sz w:val="21"/>
          <w:szCs w:val="21"/>
        </w:rPr>
        <w:t>you are eligible for a monthly pension up</w:t>
      </w:r>
      <w:r w:rsidR="005B32A1">
        <w:rPr>
          <w:rFonts w:ascii="Garamond" w:hAnsi="Garamond"/>
          <w:sz w:val="21"/>
          <w:szCs w:val="21"/>
        </w:rPr>
        <w:t>on</w:t>
      </w:r>
      <w:r w:rsidRPr="003C6A48">
        <w:rPr>
          <w:rFonts w:ascii="Garamond" w:hAnsi="Garamond"/>
          <w:sz w:val="21"/>
          <w:szCs w:val="21"/>
        </w:rPr>
        <w:t xml:space="preserve"> reaching the </w:t>
      </w:r>
      <w:r w:rsidR="005B32A1">
        <w:rPr>
          <w:rFonts w:ascii="Garamond" w:hAnsi="Garamond"/>
          <w:sz w:val="21"/>
          <w:szCs w:val="21"/>
        </w:rPr>
        <w:t>age of 60 if y</w:t>
      </w:r>
      <w:r w:rsidR="003C6A48" w:rsidRPr="003C6A48">
        <w:rPr>
          <w:rFonts w:ascii="Garamond" w:hAnsi="Garamond"/>
          <w:sz w:val="21"/>
          <w:szCs w:val="21"/>
        </w:rPr>
        <w:t>ou leave</w:t>
      </w:r>
      <w:r w:rsidR="005B32A1">
        <w:rPr>
          <w:rFonts w:ascii="Garamond" w:hAnsi="Garamond"/>
          <w:sz w:val="21"/>
          <w:szCs w:val="21"/>
        </w:rPr>
        <w:t xml:space="preserve"> your </w:t>
      </w:r>
      <w:r w:rsidR="003C6A48" w:rsidRPr="003C6A48">
        <w:rPr>
          <w:rFonts w:ascii="Garamond" w:hAnsi="Garamond"/>
          <w:sz w:val="21"/>
          <w:szCs w:val="21"/>
        </w:rPr>
        <w:t>accumulated deductions in the fund</w:t>
      </w:r>
      <w:r w:rsidR="005B32A1">
        <w:rPr>
          <w:rFonts w:ascii="Garamond" w:hAnsi="Garamond"/>
          <w:sz w:val="21"/>
          <w:szCs w:val="21"/>
        </w:rPr>
        <w:t xml:space="preserve">. </w:t>
      </w:r>
    </w:p>
    <w:p w:rsidR="003C6A48" w:rsidRPr="003C6A48" w:rsidRDefault="003C6A48" w:rsidP="003C6A48">
      <w:pPr>
        <w:pStyle w:val="NoSpacing"/>
        <w:rPr>
          <w:rFonts w:ascii="Garamond" w:hAnsi="Garamond"/>
          <w:sz w:val="21"/>
          <w:szCs w:val="21"/>
        </w:rPr>
      </w:pP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Death Benefits:</w:t>
      </w:r>
      <w:r w:rsidRPr="003C6A48">
        <w:rPr>
          <w:rFonts w:ascii="Garamond" w:hAnsi="Garamond"/>
          <w:sz w:val="21"/>
          <w:szCs w:val="21"/>
        </w:rPr>
        <w:tab/>
        <w:t>If you die while actively employed with less than 10 years of service, your beneficiary would receive your contributions and interest in a lump sum payment.</w:t>
      </w: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ab/>
        <w:t xml:space="preserve">If you die while actively employed </w:t>
      </w:r>
      <w:r w:rsidR="005B4CA2">
        <w:rPr>
          <w:rFonts w:ascii="Garamond" w:hAnsi="Garamond"/>
          <w:sz w:val="21"/>
          <w:szCs w:val="21"/>
        </w:rPr>
        <w:t xml:space="preserve">and you are at least age 60 OR </w:t>
      </w:r>
      <w:r w:rsidRPr="003C6A48">
        <w:rPr>
          <w:rFonts w:ascii="Garamond" w:hAnsi="Garamond"/>
          <w:sz w:val="21"/>
          <w:szCs w:val="21"/>
        </w:rPr>
        <w:t>have 10 years of service time, your beneficiary will receive both your contributions and the County’s portion of your retirement.</w:t>
      </w: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sz w:val="21"/>
          <w:szCs w:val="21"/>
        </w:rPr>
        <w:tab/>
        <w:t>You may fill out a 2-D Form after age 60 OR after 10 years of service.  This will request a monthly pension in place of a lump sum should you die in service (This does not limit your options at retirement).</w:t>
      </w:r>
    </w:p>
    <w:p w:rsidR="003C6A48" w:rsidRP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Retirement Options:</w:t>
      </w:r>
      <w:r w:rsidRPr="003C6A48">
        <w:rPr>
          <w:rFonts w:ascii="Garamond" w:hAnsi="Garamond"/>
          <w:sz w:val="21"/>
          <w:szCs w:val="21"/>
        </w:rPr>
        <w:tab/>
        <w:t xml:space="preserve">You will have several options when you are ready to draw retirement.  All options provide the County’s portion as a monthly pension payable for the remainder of your life.  The member’s portions can be taken either in a lump sum or as part of the monthly </w:t>
      </w:r>
      <w:r w:rsidR="005B4CA2">
        <w:rPr>
          <w:rFonts w:ascii="Garamond" w:hAnsi="Garamond"/>
          <w:sz w:val="21"/>
          <w:szCs w:val="21"/>
        </w:rPr>
        <w:t>payment</w:t>
      </w:r>
      <w:r w:rsidRPr="003C6A48">
        <w:rPr>
          <w:rFonts w:ascii="Garamond" w:hAnsi="Garamond"/>
          <w:sz w:val="21"/>
          <w:szCs w:val="21"/>
        </w:rPr>
        <w:t>.  You will be advised of the various options at the time of your retirement.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  <w:u w:val="single"/>
        </w:rPr>
        <w:t>Consultant:</w:t>
      </w:r>
      <w:r>
        <w:rPr>
          <w:rFonts w:ascii="Garamond" w:hAnsi="Garamond"/>
          <w:sz w:val="21"/>
          <w:szCs w:val="21"/>
        </w:rPr>
        <w:tab/>
        <w:t>Seth Lynn, Dahab Associates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  <w:u w:val="single"/>
        </w:rPr>
        <w:t>Actuary:</w:t>
      </w:r>
      <w:r>
        <w:rPr>
          <w:rFonts w:ascii="Garamond" w:hAnsi="Garamond"/>
          <w:sz w:val="21"/>
          <w:szCs w:val="21"/>
        </w:rPr>
        <w:tab/>
      </w:r>
      <w:r w:rsidR="0087570E">
        <w:rPr>
          <w:rFonts w:ascii="Garamond" w:hAnsi="Garamond"/>
          <w:sz w:val="21"/>
          <w:szCs w:val="21"/>
        </w:rPr>
        <w:t>Foster &amp; Foster Actuaries and Consultants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  <w:u w:val="single"/>
        </w:rPr>
        <w:t>Custodian:</w:t>
      </w:r>
      <w:r>
        <w:rPr>
          <w:rFonts w:ascii="Garamond" w:hAnsi="Garamond"/>
          <w:sz w:val="21"/>
          <w:szCs w:val="21"/>
        </w:rPr>
        <w:tab/>
        <w:t>Wilmington Trust/M&amp;T Bank</w:t>
      </w:r>
    </w:p>
    <w:p w:rsid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82F96" w:rsidRDefault="00A82F96" w:rsidP="001F307A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  <w:u w:val="single"/>
        </w:rPr>
        <w:lastRenderedPageBreak/>
        <w:t>Money Managers:</w:t>
      </w:r>
      <w:r>
        <w:rPr>
          <w:rFonts w:ascii="Garamond" w:hAnsi="Garamond"/>
          <w:sz w:val="21"/>
          <w:szCs w:val="21"/>
        </w:rPr>
        <w:tab/>
        <w:t>C.S. McKee. L.P.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Brandywine Global Investment Management, LLC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O’Shaughnessy Asset Management</w:t>
      </w:r>
    </w:p>
    <w:p w:rsid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ASB Real Estate Investments</w:t>
      </w: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Fort Washington Capital</w:t>
      </w: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Heitman Real Estate</w:t>
      </w: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Hilton Capital Management</w:t>
      </w: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Johnson Asset Management</w:t>
      </w: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Loomis, Sayles &amp; Company L.P.</w:t>
      </w:r>
    </w:p>
    <w:p w:rsidR="0087570E" w:rsidRDefault="00A82F96" w:rsidP="0087570E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Private Advisors, LLC</w:t>
      </w:r>
      <w:bookmarkStart w:id="0" w:name="_GoBack"/>
      <w:bookmarkEnd w:id="0"/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82F96" w:rsidRDefault="00A82F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  <w:u w:val="single"/>
        </w:rPr>
        <w:t>Asset Allocation:</w:t>
      </w:r>
      <w:r>
        <w:rPr>
          <w:rFonts w:ascii="Garamond" w:hAnsi="Garamond"/>
          <w:sz w:val="21"/>
          <w:szCs w:val="21"/>
        </w:rPr>
        <w:tab/>
      </w:r>
      <w:r w:rsidR="003A23B0">
        <w:rPr>
          <w:rFonts w:ascii="Garamond" w:hAnsi="Garamond"/>
          <w:sz w:val="21"/>
          <w:szCs w:val="21"/>
        </w:rPr>
        <w:t>15</w:t>
      </w:r>
      <w:r>
        <w:rPr>
          <w:rFonts w:ascii="Garamond" w:hAnsi="Garamond"/>
          <w:sz w:val="21"/>
          <w:szCs w:val="21"/>
        </w:rPr>
        <w:t xml:space="preserve">% </w:t>
      </w:r>
      <w:r w:rsidR="00363796">
        <w:rPr>
          <w:rFonts w:ascii="Garamond" w:hAnsi="Garamond"/>
          <w:sz w:val="21"/>
          <w:szCs w:val="21"/>
        </w:rPr>
        <w:t>Large Cap Value Equities</w:t>
      </w:r>
    </w:p>
    <w:p w:rsidR="00363796" w:rsidRDefault="003A23B0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15</w:t>
      </w:r>
      <w:r w:rsidR="00363796">
        <w:rPr>
          <w:rFonts w:ascii="Garamond" w:hAnsi="Garamond"/>
          <w:sz w:val="21"/>
          <w:szCs w:val="21"/>
        </w:rPr>
        <w:t>% Large Cap Growth Equities</w:t>
      </w:r>
    </w:p>
    <w:p w:rsidR="00363796" w:rsidRDefault="003A23B0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30</w:t>
      </w:r>
      <w:r w:rsidR="00363796">
        <w:rPr>
          <w:rFonts w:ascii="Garamond" w:hAnsi="Garamond"/>
          <w:sz w:val="21"/>
          <w:szCs w:val="21"/>
        </w:rPr>
        <w:t>% Small/Mid Cap Equities</w:t>
      </w:r>
    </w:p>
    <w:p w:rsidR="00363796" w:rsidRDefault="003637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10% International Equities</w:t>
      </w:r>
    </w:p>
    <w:p w:rsidR="00363796" w:rsidRDefault="003A23B0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15</w:t>
      </w:r>
      <w:r w:rsidR="00363796">
        <w:rPr>
          <w:rFonts w:ascii="Garamond" w:hAnsi="Garamond"/>
          <w:sz w:val="21"/>
          <w:szCs w:val="21"/>
        </w:rPr>
        <w:t>% Fixed Income Securities</w:t>
      </w:r>
    </w:p>
    <w:p w:rsidR="00363796" w:rsidRDefault="003637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>10% Real Estate Investments</w:t>
      </w:r>
    </w:p>
    <w:p w:rsidR="00363796" w:rsidRPr="00363796" w:rsidRDefault="00363796" w:rsidP="00A82F96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  <w:t xml:space="preserve"> 5% Private Equity Investments</w:t>
      </w:r>
    </w:p>
    <w:p w:rsidR="00A82F96" w:rsidRPr="00A82F96" w:rsidRDefault="00A82F96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3C6A48" w:rsidRDefault="003C6A48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  <w:r w:rsidRPr="003C6A48">
        <w:rPr>
          <w:rFonts w:ascii="Garamond" w:hAnsi="Garamond"/>
          <w:b/>
          <w:sz w:val="21"/>
          <w:szCs w:val="21"/>
          <w:u w:val="single"/>
        </w:rPr>
        <w:t>Questions:</w:t>
      </w:r>
      <w:r w:rsidRPr="003C6A48">
        <w:rPr>
          <w:rFonts w:ascii="Garamond" w:hAnsi="Garamond"/>
          <w:sz w:val="21"/>
          <w:szCs w:val="21"/>
        </w:rPr>
        <w:tab/>
        <w:t>Additional questions about the Lycoming County Employees’ Retirement Fund should be directed to the Controller (extension 2298).</w:t>
      </w:r>
    </w:p>
    <w:p w:rsidR="00AA0DA9" w:rsidRDefault="00AA0DA9" w:rsidP="003C6A48">
      <w:pPr>
        <w:pStyle w:val="NoSpacing"/>
        <w:ind w:left="2880" w:hanging="2880"/>
        <w:rPr>
          <w:rFonts w:ascii="Garamond" w:hAnsi="Garamond"/>
          <w:sz w:val="21"/>
          <w:szCs w:val="21"/>
        </w:rPr>
      </w:pPr>
    </w:p>
    <w:p w:rsidR="00AA0DA9" w:rsidRDefault="00AA0DA9" w:rsidP="00AA0DA9">
      <w:pPr>
        <w:pStyle w:val="NoSpacing"/>
        <w:ind w:left="2880" w:hanging="2880"/>
        <w:rPr>
          <w:rFonts w:ascii="Garamond" w:hAnsi="Garamond"/>
          <w:b/>
          <w:sz w:val="21"/>
          <w:szCs w:val="21"/>
        </w:rPr>
      </w:pPr>
      <w:r w:rsidRPr="00AA0DA9">
        <w:rPr>
          <w:rFonts w:ascii="Garamond" w:hAnsi="Garamond"/>
          <w:b/>
          <w:sz w:val="21"/>
          <w:szCs w:val="21"/>
        </w:rPr>
        <w:t>*</w:t>
      </w:r>
      <w:r>
        <w:rPr>
          <w:rFonts w:ascii="Garamond" w:hAnsi="Garamond"/>
          <w:b/>
          <w:sz w:val="21"/>
          <w:szCs w:val="21"/>
        </w:rPr>
        <w:t xml:space="preserve">The Election of </w:t>
      </w:r>
      <w:r w:rsidRPr="00AA0DA9">
        <w:rPr>
          <w:rFonts w:ascii="Garamond" w:hAnsi="Garamond"/>
          <w:b/>
          <w:sz w:val="21"/>
          <w:szCs w:val="21"/>
        </w:rPr>
        <w:t>Option 2</w:t>
      </w:r>
      <w:r>
        <w:rPr>
          <w:rFonts w:ascii="Garamond" w:hAnsi="Garamond"/>
          <w:b/>
          <w:sz w:val="21"/>
          <w:szCs w:val="21"/>
        </w:rPr>
        <w:t>-</w:t>
      </w:r>
      <w:r w:rsidRPr="00AA0DA9">
        <w:rPr>
          <w:rFonts w:ascii="Garamond" w:hAnsi="Garamond"/>
          <w:b/>
          <w:sz w:val="21"/>
          <w:szCs w:val="21"/>
        </w:rPr>
        <w:t>D</w:t>
      </w:r>
      <w:r>
        <w:rPr>
          <w:rFonts w:ascii="Garamond" w:hAnsi="Garamond"/>
          <w:b/>
          <w:sz w:val="21"/>
          <w:szCs w:val="21"/>
        </w:rPr>
        <w:t xml:space="preserve"> Form</w:t>
      </w:r>
      <w:r w:rsidRPr="00AA0DA9">
        <w:rPr>
          <w:rFonts w:ascii="Garamond" w:hAnsi="Garamond"/>
          <w:b/>
          <w:sz w:val="21"/>
          <w:szCs w:val="21"/>
        </w:rPr>
        <w:t>, Beneficiary</w:t>
      </w:r>
      <w:r>
        <w:rPr>
          <w:rFonts w:ascii="Garamond" w:hAnsi="Garamond"/>
          <w:b/>
          <w:sz w:val="21"/>
          <w:szCs w:val="21"/>
        </w:rPr>
        <w:t xml:space="preserve"> Form</w:t>
      </w:r>
      <w:r w:rsidRPr="00AA0DA9">
        <w:rPr>
          <w:rFonts w:ascii="Garamond" w:hAnsi="Garamond"/>
          <w:b/>
          <w:sz w:val="21"/>
          <w:szCs w:val="21"/>
        </w:rPr>
        <w:t xml:space="preserve"> and Retirement Percentage Contribution C</w:t>
      </w:r>
      <w:r>
        <w:rPr>
          <w:rFonts w:ascii="Garamond" w:hAnsi="Garamond"/>
          <w:b/>
          <w:sz w:val="21"/>
          <w:szCs w:val="21"/>
        </w:rPr>
        <w:t>hange</w:t>
      </w:r>
    </w:p>
    <w:p w:rsidR="003C6A48" w:rsidRPr="00AA0DA9" w:rsidRDefault="00AA0DA9" w:rsidP="00AA0DA9">
      <w:pPr>
        <w:pStyle w:val="NoSpacing"/>
        <w:ind w:left="2880" w:hanging="2880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Form can be found on the </w:t>
      </w:r>
      <w:r w:rsidRPr="00AA0DA9">
        <w:rPr>
          <w:rFonts w:ascii="Garamond" w:hAnsi="Garamond"/>
          <w:b/>
          <w:sz w:val="21"/>
          <w:szCs w:val="21"/>
        </w:rPr>
        <w:t>Controller’s</w:t>
      </w:r>
      <w:r>
        <w:rPr>
          <w:rFonts w:ascii="Garamond" w:hAnsi="Garamond"/>
          <w:b/>
          <w:sz w:val="21"/>
          <w:szCs w:val="21"/>
        </w:rPr>
        <w:t xml:space="preserve"> </w:t>
      </w:r>
      <w:r w:rsidRPr="00AA0DA9">
        <w:rPr>
          <w:rFonts w:ascii="Garamond" w:hAnsi="Garamond"/>
          <w:b/>
          <w:sz w:val="21"/>
          <w:szCs w:val="21"/>
        </w:rPr>
        <w:t>Intranet site.*</w:t>
      </w:r>
    </w:p>
    <w:sectPr w:rsidR="003C6A48" w:rsidRPr="00AA0DA9" w:rsidSect="002347FC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278CA"/>
    <w:multiLevelType w:val="hybridMultilevel"/>
    <w:tmpl w:val="7A30E8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DA1139A"/>
    <w:multiLevelType w:val="hybridMultilevel"/>
    <w:tmpl w:val="59907E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9E"/>
    <w:rsid w:val="001F307A"/>
    <w:rsid w:val="002347FC"/>
    <w:rsid w:val="00363796"/>
    <w:rsid w:val="003A23B0"/>
    <w:rsid w:val="003C6A48"/>
    <w:rsid w:val="004A6B4C"/>
    <w:rsid w:val="00552C7B"/>
    <w:rsid w:val="005B32A1"/>
    <w:rsid w:val="005B4CA2"/>
    <w:rsid w:val="005C609E"/>
    <w:rsid w:val="006529E1"/>
    <w:rsid w:val="008645A6"/>
    <w:rsid w:val="0087570E"/>
    <w:rsid w:val="00A82F96"/>
    <w:rsid w:val="00AA0DA9"/>
    <w:rsid w:val="00E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29A2"/>
  <w15:docId w15:val="{1FC33C54-9958-4E4B-BE2D-F8E6B17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Nicki Gottschall</cp:lastModifiedBy>
  <cp:revision>8</cp:revision>
  <dcterms:created xsi:type="dcterms:W3CDTF">2015-06-12T20:30:00Z</dcterms:created>
  <dcterms:modified xsi:type="dcterms:W3CDTF">2025-02-05T17:12:00Z</dcterms:modified>
</cp:coreProperties>
</file>